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0FC56F0B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281B34" w14:textId="77777777"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14:paraId="44A88364" w14:textId="77777777" w:rsidR="006E0E27" w:rsidRPr="004A7C1C" w:rsidRDefault="006E0E27" w:rsidP="006E0E27"/>
        </w:tc>
      </w:tr>
      <w:tr w:rsidR="000927B9" w:rsidRPr="004A7C1C" w14:paraId="5EDA4A02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2441B910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086559E8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3336CA83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5803C407" w14:textId="77777777" w:rsidR="005F17D7" w:rsidRDefault="00751A16" w:rsidP="00751A16">
            <w:pPr>
              <w:pStyle w:val="Brdtext"/>
            </w:pPr>
            <w:r>
              <w:t xml:space="preserve">Tjänstekontraktsbeskrivning: </w:t>
            </w:r>
            <w:r w:rsidR="00B16421" w:rsidRPr="00B16421">
              <w:t>infrastructure_directory_employe</w:t>
            </w:r>
            <w:r w:rsidR="00B16421">
              <w:t>e</w:t>
            </w:r>
          </w:p>
          <w:p w14:paraId="2384227A" w14:textId="77777777" w:rsidR="00751A16" w:rsidRDefault="005F17D7" w:rsidP="00751A16">
            <w:pPr>
              <w:pStyle w:val="Brdtext"/>
            </w:pPr>
            <w:r w:rsidRPr="005F17D7">
              <w:t xml:space="preserve"> </w:t>
            </w:r>
            <w:r w:rsidR="00751A16">
              <w:t>Version</w:t>
            </w:r>
            <w:r w:rsidR="001F5FDF">
              <w:t>:</w:t>
            </w:r>
            <w:r>
              <w:t xml:space="preserve"> 2.0</w:t>
            </w:r>
            <w:r w:rsidR="00751A16">
              <w:t xml:space="preserve"> </w:t>
            </w:r>
          </w:p>
          <w:p w14:paraId="1F2B654F" w14:textId="77777777" w:rsidR="00104634" w:rsidRPr="00394CF2" w:rsidRDefault="00104634" w:rsidP="00394CF2">
            <w:pPr>
              <w:pStyle w:val="Brdtext"/>
            </w:pPr>
          </w:p>
        </w:tc>
      </w:tr>
    </w:tbl>
    <w:p w14:paraId="77562569" w14:textId="77777777" w:rsidR="000927B9" w:rsidRPr="004A7C1C" w:rsidRDefault="000927B9" w:rsidP="00A47B77"/>
    <w:p w14:paraId="3EE6228F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1DC893B4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32D72C5E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3CDF309" w14:textId="77777777" w:rsidR="00922FC7" w:rsidRDefault="00CC79E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EF14E6E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A5A813D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D1CF29A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A93D7EF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4CFCB6F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2BC3279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8E91AEE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1BB0789" w14:textId="77777777" w:rsidR="00922FC7" w:rsidRDefault="00CC79E7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F1CDBE6" w14:textId="77777777" w:rsidR="00922FC7" w:rsidRDefault="00CC79E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12CEB2F" w14:textId="77777777" w:rsidR="00922FC7" w:rsidRDefault="00CC79E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34741D0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23CF0CD0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0FB4BD4E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2C857483" w14:textId="77777777" w:rsidTr="00922FC7">
        <w:tc>
          <w:tcPr>
            <w:tcW w:w="1101" w:type="dxa"/>
          </w:tcPr>
          <w:p w14:paraId="592B593C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6F0B2C2F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1AAAFBAA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4A61533D" w14:textId="77777777" w:rsidTr="00922FC7">
        <w:tc>
          <w:tcPr>
            <w:tcW w:w="1101" w:type="dxa"/>
          </w:tcPr>
          <w:p w14:paraId="16D39192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4D84488F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66E06A77" w14:textId="77777777" w:rsidR="005A45AA" w:rsidRDefault="005A45AA" w:rsidP="00394CF2">
            <w:pPr>
              <w:pStyle w:val="Brdtext"/>
            </w:pPr>
          </w:p>
        </w:tc>
      </w:tr>
      <w:tr w:rsidR="00CE199A" w14:paraId="1E2B3CA8" w14:textId="77777777" w:rsidTr="00922FC7">
        <w:tc>
          <w:tcPr>
            <w:tcW w:w="1101" w:type="dxa"/>
          </w:tcPr>
          <w:p w14:paraId="12C3163E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6138FC26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622E1D69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59500480" w14:textId="77777777" w:rsidTr="00922FC7">
        <w:tc>
          <w:tcPr>
            <w:tcW w:w="1101" w:type="dxa"/>
          </w:tcPr>
          <w:p w14:paraId="7BC2C801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7A7FB96F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10F9C6E5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5B27CEEF" w14:textId="77777777" w:rsidTr="00922FC7">
        <w:tc>
          <w:tcPr>
            <w:tcW w:w="1101" w:type="dxa"/>
          </w:tcPr>
          <w:p w14:paraId="6DC97D03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65CDC61D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22362147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11A75300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213A9FE9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61157580" w14:textId="77777777" w:rsidR="004D2F92" w:rsidRDefault="004D2F92" w:rsidP="00394CF2"/>
    <w:p w14:paraId="0F4990C3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14:paraId="1443337A" w14:textId="77777777"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14:paraId="711A905B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2320E660" w14:textId="77777777" w:rsidR="00394CF2" w:rsidRDefault="00394CF2" w:rsidP="00394CF2"/>
    <w:p w14:paraId="4032B955" w14:textId="77777777" w:rsidR="00394CF2" w:rsidRPr="00F0198E" w:rsidRDefault="00394CF2" w:rsidP="00394CF2"/>
    <w:p w14:paraId="74FCBE27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14:paraId="1F17DAED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71367A34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51FB215D" w14:textId="77777777" w:rsidR="00394CF2" w:rsidRDefault="00CC79E7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2A3BCC05" w14:textId="77777777" w:rsidR="00394CF2" w:rsidRDefault="00394CF2" w:rsidP="00394CF2">
      <w:pPr>
        <w:ind w:left="405"/>
      </w:pPr>
    </w:p>
    <w:p w14:paraId="530EB07C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759568A0" w14:textId="77777777" w:rsidR="00394CF2" w:rsidRDefault="00CC79E7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7FDBAB52" w14:textId="77777777" w:rsidR="00394CF2" w:rsidRDefault="00394CF2" w:rsidP="00394CF2">
      <w:pPr>
        <w:ind w:left="405"/>
      </w:pPr>
    </w:p>
    <w:p w14:paraId="294869E4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5A132878" w14:textId="77777777" w:rsidR="00394CF2" w:rsidRDefault="00CC79E7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2C0458DD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088FAA67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3DD1E4E3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3846A0B2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2EE38EAA" w14:textId="77777777" w:rsidTr="005A45AA">
        <w:trPr>
          <w:trHeight w:val="709"/>
        </w:trPr>
        <w:tc>
          <w:tcPr>
            <w:tcW w:w="1017" w:type="pct"/>
          </w:tcPr>
          <w:p w14:paraId="0A88EDD0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2180779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065F2307" w14:textId="77777777" w:rsidTr="005A45AA">
        <w:trPr>
          <w:trHeight w:val="709"/>
        </w:trPr>
        <w:tc>
          <w:tcPr>
            <w:tcW w:w="1017" w:type="pct"/>
          </w:tcPr>
          <w:p w14:paraId="6AE4E433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6A136D90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37A862CB" w14:textId="77777777" w:rsidTr="005A45AA">
        <w:trPr>
          <w:trHeight w:val="709"/>
        </w:trPr>
        <w:tc>
          <w:tcPr>
            <w:tcW w:w="1017" w:type="pct"/>
          </w:tcPr>
          <w:p w14:paraId="0ACF84BC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5623D4D2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2654A484" w14:textId="77777777" w:rsidTr="005A45AA">
        <w:trPr>
          <w:trHeight w:val="709"/>
        </w:trPr>
        <w:tc>
          <w:tcPr>
            <w:tcW w:w="1017" w:type="pct"/>
          </w:tcPr>
          <w:p w14:paraId="51E2CBCE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04B1714F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18381401" w14:textId="77777777" w:rsidR="00394CF2" w:rsidRPr="00E73FC9" w:rsidRDefault="00394CF2" w:rsidP="00394CF2">
      <w:pPr>
        <w:ind w:left="405"/>
        <w:rPr>
          <w:color w:val="FF0000"/>
        </w:rPr>
      </w:pPr>
    </w:p>
    <w:p w14:paraId="3A6418BF" w14:textId="77777777" w:rsidR="00394CF2" w:rsidRDefault="00394CF2" w:rsidP="00394CF2"/>
    <w:p w14:paraId="2D161B93" w14:textId="77777777" w:rsidR="00B82AAC" w:rsidRDefault="00B82AAC" w:rsidP="00FE63B8">
      <w:bookmarkStart w:id="7" w:name="_Toc271044249"/>
      <w:bookmarkStart w:id="8" w:name="_Toc271044299"/>
    </w:p>
    <w:p w14:paraId="442C951E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15EDB37D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D617B02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FB8F723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138D3698" w14:textId="77777777" w:rsidTr="00691A3B">
        <w:trPr>
          <w:trHeight w:val="709"/>
        </w:trPr>
        <w:tc>
          <w:tcPr>
            <w:tcW w:w="1017" w:type="pct"/>
          </w:tcPr>
          <w:p w14:paraId="5B0B779C" w14:textId="77777777" w:rsidR="00394CF2" w:rsidRPr="00BD2C48" w:rsidRDefault="00BE510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61F87429" w14:textId="77777777"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2B7415B3" w14:textId="77777777" w:rsidR="00394CF2" w:rsidRDefault="00394CF2" w:rsidP="00394CF2"/>
    <w:p w14:paraId="1F713B83" w14:textId="77777777" w:rsidR="002D39BD" w:rsidRPr="002D39BD" w:rsidRDefault="002D39BD" w:rsidP="002D39BD">
      <w:pPr>
        <w:pStyle w:val="Brdtext"/>
      </w:pPr>
    </w:p>
    <w:p w14:paraId="5604CF01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14:paraId="11863EF8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04FB158A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662A6F42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17177B94" w14:textId="77777777" w:rsidTr="000002C0">
        <w:trPr>
          <w:trHeight w:val="709"/>
        </w:trPr>
        <w:tc>
          <w:tcPr>
            <w:tcW w:w="5000" w:type="pct"/>
          </w:tcPr>
          <w:p w14:paraId="2F760B74" w14:textId="77777777" w:rsidR="003C3178" w:rsidRDefault="003C3178" w:rsidP="003C3178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</w:pPr>
            <w:bookmarkStart w:id="13" w:name="_Toc243452546"/>
            <w:bookmarkStart w:id="14" w:name="_Toc505070422"/>
            <w:r>
              <w:t>Förändrade tjänstekontrakt</w:t>
            </w:r>
            <w:bookmarkEnd w:id="13"/>
            <w:bookmarkEnd w:id="14"/>
          </w:p>
          <w:p w14:paraId="5EA21D15" w14:textId="77777777" w:rsidR="003C3178" w:rsidRPr="0045795F" w:rsidRDefault="003C3178" w:rsidP="003C3178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 w:rsidRPr="0045795F">
              <w:rPr>
                <w:rFonts w:cs="Arial"/>
                <w:szCs w:val="20"/>
              </w:rPr>
              <w:t>GetCommissionMembersIncludingProtectedPerson</w:t>
            </w:r>
          </w:p>
          <w:p w14:paraId="0C429476" w14:textId="77777777" w:rsidR="003C3178" w:rsidRPr="0045795F" w:rsidRDefault="003C3178" w:rsidP="003C3178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 w:rsidRPr="0045795F">
              <w:rPr>
                <w:rFonts w:cs="Arial"/>
                <w:szCs w:val="20"/>
              </w:rPr>
              <w:t>GetCommissionMembers</w:t>
            </w:r>
          </w:p>
          <w:p w14:paraId="71462092" w14:textId="77777777" w:rsidR="003C3178" w:rsidRPr="0045795F" w:rsidRDefault="003C3178" w:rsidP="003C3178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 w:rsidRPr="0045795F">
              <w:rPr>
                <w:rFonts w:cs="Arial"/>
                <w:szCs w:val="20"/>
              </w:rPr>
              <w:t xml:space="preserve">GetEmployeeIncludingProtectedPerson </w:t>
            </w:r>
          </w:p>
          <w:p w14:paraId="2A5C799A" w14:textId="77777777" w:rsidR="003C3178" w:rsidRPr="0045795F" w:rsidRDefault="003C3178" w:rsidP="003C3178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 w:rsidRPr="0045795F">
              <w:rPr>
                <w:rFonts w:cs="Arial"/>
                <w:szCs w:val="20"/>
              </w:rPr>
              <w:t>GetEmployee</w:t>
            </w:r>
          </w:p>
          <w:p w14:paraId="38B1C676" w14:textId="77777777" w:rsidR="000002C0" w:rsidRPr="000D195E" w:rsidRDefault="000002C0" w:rsidP="00691A3B"/>
        </w:tc>
      </w:tr>
    </w:tbl>
    <w:p w14:paraId="7AECA704" w14:textId="77777777" w:rsidR="00394CF2" w:rsidRDefault="00394CF2" w:rsidP="00394CF2"/>
    <w:p w14:paraId="63D044E1" w14:textId="77777777" w:rsidR="002D39BD" w:rsidRPr="002D39BD" w:rsidRDefault="002D39BD" w:rsidP="002D39BD">
      <w:pPr>
        <w:pStyle w:val="Brdtext"/>
      </w:pPr>
    </w:p>
    <w:p w14:paraId="47EF5277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394CF2" w:rsidRPr="000D195E" w14:paraId="2C771A5E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433B7A32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BCB9745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65A59F82" w14:textId="77777777" w:rsidTr="00691A3B">
        <w:trPr>
          <w:trHeight w:val="709"/>
        </w:trPr>
        <w:tc>
          <w:tcPr>
            <w:tcW w:w="1017" w:type="pct"/>
          </w:tcPr>
          <w:p w14:paraId="703B5BFE" w14:textId="77777777" w:rsidR="00394CF2" w:rsidRPr="00BD2C48" w:rsidRDefault="00BE510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304502EE" w14:textId="77777777" w:rsidR="00BE5109" w:rsidRDefault="00BE5109" w:rsidP="00BE5109">
            <w:r>
              <w:t xml:space="preserve">Informationsspecifikation </w:t>
            </w:r>
          </w:p>
          <w:p w14:paraId="628E2E6A" w14:textId="77777777" w:rsidR="00BE5109" w:rsidRDefault="00CC79E7" w:rsidP="00BE5109">
            <w:pPr>
              <w:pStyle w:val="Brdtext"/>
            </w:pPr>
            <w:hyperlink r:id="rId12" w:history="1">
              <w:r w:rsidR="00BE5109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03977D11" w14:textId="77777777" w:rsidR="00394CF2" w:rsidRPr="000D195E" w:rsidRDefault="00BE5109" w:rsidP="00BE5109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1DE5301F" w14:textId="77777777" w:rsidR="0006045E" w:rsidRDefault="0006045E" w:rsidP="0006045E">
      <w:pPr>
        <w:pStyle w:val="Brdtext"/>
      </w:pPr>
    </w:p>
    <w:p w14:paraId="7C73CC55" w14:textId="77777777" w:rsidR="002D39BD" w:rsidRDefault="002D39BD" w:rsidP="0006045E">
      <w:pPr>
        <w:pStyle w:val="Brdtext"/>
      </w:pPr>
    </w:p>
    <w:p w14:paraId="0172C621" w14:textId="77777777"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14:paraId="19747CFF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2B278D2C" w14:textId="77777777"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75F98C5" w14:textId="77777777"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14:paraId="4BE10128" w14:textId="77777777" w:rsidTr="00751A16">
        <w:trPr>
          <w:trHeight w:val="709"/>
        </w:trPr>
        <w:tc>
          <w:tcPr>
            <w:tcW w:w="1017" w:type="pct"/>
          </w:tcPr>
          <w:p w14:paraId="24EC000B" w14:textId="77777777"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14:paraId="0CCA6713" w14:textId="77777777"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11F63509" w14:textId="77777777" w:rsidR="004D33AB" w:rsidRDefault="004D33AB" w:rsidP="0006045E">
      <w:pPr>
        <w:pStyle w:val="Brdtext"/>
      </w:pPr>
    </w:p>
    <w:p w14:paraId="2D5D5FCE" w14:textId="77777777" w:rsidR="004D33AB" w:rsidRPr="0006045E" w:rsidRDefault="004D33AB" w:rsidP="0006045E">
      <w:pPr>
        <w:pStyle w:val="Brdtext"/>
      </w:pPr>
    </w:p>
    <w:p w14:paraId="72312AE3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394CF2" w:rsidRPr="000D195E" w14:paraId="7099204C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63474A7D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41017959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23AD0206" w14:textId="77777777" w:rsidTr="00691A3B">
        <w:trPr>
          <w:trHeight w:val="709"/>
        </w:trPr>
        <w:tc>
          <w:tcPr>
            <w:tcW w:w="1017" w:type="pct"/>
          </w:tcPr>
          <w:p w14:paraId="3D790310" w14:textId="77777777" w:rsidR="00394CF2" w:rsidRPr="00BD2C48" w:rsidRDefault="00BE5109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6677559A" w14:textId="77777777" w:rsidR="00BE5109" w:rsidRDefault="00BE5109" w:rsidP="00BE5109">
            <w:r>
              <w:t xml:space="preserve">Informationsspecifikation </w:t>
            </w:r>
          </w:p>
          <w:p w14:paraId="0B1BD827" w14:textId="77777777" w:rsidR="00BE5109" w:rsidRDefault="00CC79E7" w:rsidP="00BE5109">
            <w:pPr>
              <w:pStyle w:val="Brdtext"/>
            </w:pPr>
            <w:hyperlink r:id="rId13" w:history="1">
              <w:r w:rsidR="00BE5109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46401687" w14:textId="77777777" w:rsidR="00394CF2" w:rsidRPr="000D195E" w:rsidRDefault="00BE5109" w:rsidP="00BE5109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3F3376DF" w14:textId="77777777" w:rsidR="004D33AB" w:rsidRDefault="004D33AB" w:rsidP="004D33AB">
      <w:pPr>
        <w:pStyle w:val="Brdtext"/>
      </w:pPr>
    </w:p>
    <w:p w14:paraId="346428EC" w14:textId="77777777"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142F9A49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0182AC65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0D1C5D2F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09F6DA44" w14:textId="77777777" w:rsidTr="00691A3B">
        <w:trPr>
          <w:trHeight w:val="709"/>
        </w:trPr>
        <w:tc>
          <w:tcPr>
            <w:tcW w:w="1017" w:type="pct"/>
          </w:tcPr>
          <w:p w14:paraId="013EA912" w14:textId="7675D9EC" w:rsidR="00691A3B" w:rsidRPr="00BD2C48" w:rsidRDefault="00F80A6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5BE8B865" w14:textId="77777777" w:rsidR="00691A3B" w:rsidRPr="000D195E" w:rsidRDefault="00691A3B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5E2028AF" w14:textId="77777777" w:rsidR="00691A3B" w:rsidRPr="00691A3B" w:rsidRDefault="00691A3B" w:rsidP="00691A3B">
      <w:pPr>
        <w:pStyle w:val="Brdtext"/>
      </w:pPr>
    </w:p>
    <w:p w14:paraId="12C5B471" w14:textId="77777777"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7362B864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45A817FC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CACFC95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5A8CE90E" w14:textId="77777777" w:rsidTr="00751A16">
        <w:trPr>
          <w:trHeight w:val="709"/>
        </w:trPr>
        <w:tc>
          <w:tcPr>
            <w:tcW w:w="1017" w:type="pct"/>
          </w:tcPr>
          <w:p w14:paraId="2D48D37C" w14:textId="7BCADF7E" w:rsidR="002D39BD" w:rsidRPr="00BD2C48" w:rsidRDefault="00F80A61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5DE5F8F6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2"/>
    </w:tbl>
    <w:p w14:paraId="6AD5A94E" w14:textId="77777777" w:rsidR="00D01CCD" w:rsidRDefault="00D01CCD" w:rsidP="00D01CCD"/>
    <w:p w14:paraId="21CD12C5" w14:textId="77777777" w:rsidR="002D39BD" w:rsidRPr="002D39BD" w:rsidRDefault="002D39BD" w:rsidP="002D39BD">
      <w:pPr>
        <w:pStyle w:val="Brdtext"/>
      </w:pPr>
    </w:p>
    <w:p w14:paraId="5355C5BD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7493"/>
      </w:tblGrid>
      <w:tr w:rsidR="002D39BD" w:rsidRPr="000D195E" w14:paraId="3406EA1E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1C8FCA04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345B393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446F0710" w14:textId="77777777" w:rsidTr="00751A16">
        <w:trPr>
          <w:trHeight w:val="709"/>
        </w:trPr>
        <w:tc>
          <w:tcPr>
            <w:tcW w:w="1017" w:type="pct"/>
          </w:tcPr>
          <w:p w14:paraId="085040F7" w14:textId="77777777" w:rsidR="002D39BD" w:rsidRPr="00BD2C48" w:rsidRDefault="00BE5109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9D902D3" w14:textId="77777777" w:rsidR="00BE5109" w:rsidRDefault="00BE5109" w:rsidP="00BE5109">
            <w:r>
              <w:t xml:space="preserve">Informationsspecifikation </w:t>
            </w:r>
          </w:p>
          <w:p w14:paraId="654E09E1" w14:textId="77777777" w:rsidR="00BE5109" w:rsidRDefault="00CC79E7" w:rsidP="00BE5109">
            <w:pPr>
              <w:pStyle w:val="Brdtext"/>
            </w:pPr>
            <w:hyperlink r:id="rId14" w:history="1">
              <w:r w:rsidR="00BE5109">
                <w:rPr>
                  <w:rStyle w:val="Hyperlnk"/>
                </w:rPr>
                <w:t>https://www.inera.se/globalassets/tjanster/katalogtjanst-hsa/dokument/styrande-dokument/informationsspecifikation_for_katalogtjanst_hsa_version_2.0.pdf</w:t>
              </w:r>
            </w:hyperlink>
          </w:p>
          <w:p w14:paraId="7DDDE389" w14:textId="77777777" w:rsidR="002D39BD" w:rsidRPr="000D195E" w:rsidRDefault="00BE5109" w:rsidP="00BE5109">
            <w:r>
              <w:t>Denna informationsspecifikation används av flera domäner ” i enlighet med punkt 2.4 Arkitekturella beslut, (AB): Tre domäner baseras på samma informationsmodell</w:t>
            </w:r>
          </w:p>
        </w:tc>
      </w:tr>
    </w:tbl>
    <w:p w14:paraId="726EDA3C" w14:textId="77777777" w:rsidR="002D39BD" w:rsidRPr="002D39BD" w:rsidRDefault="002D39BD" w:rsidP="002D39BD"/>
    <w:p w14:paraId="21B71F71" w14:textId="77777777" w:rsidR="00394CF2" w:rsidRDefault="00394CF2" w:rsidP="00394CF2"/>
    <w:p w14:paraId="093DFE68" w14:textId="77777777" w:rsidR="002D39BD" w:rsidRDefault="002D39BD" w:rsidP="002D39BD">
      <w:pPr>
        <w:pStyle w:val="Brdtext"/>
      </w:pPr>
    </w:p>
    <w:p w14:paraId="2A5592C8" w14:textId="77777777" w:rsidR="002D39BD" w:rsidRDefault="002D39BD" w:rsidP="002D39BD">
      <w:pPr>
        <w:pStyle w:val="Brdtext"/>
      </w:pPr>
    </w:p>
    <w:p w14:paraId="2FECC292" w14:textId="77777777" w:rsidR="002D39BD" w:rsidRPr="002D39BD" w:rsidRDefault="002D39BD" w:rsidP="002D39BD">
      <w:pPr>
        <w:pStyle w:val="Brdtext"/>
      </w:pPr>
    </w:p>
    <w:p w14:paraId="28F1328F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14:paraId="482D516B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350B0B35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0D995BED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4F6855B5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70ACECF3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16644C02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03B9BD82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07A7E21F" w14:textId="77777777" w:rsidR="00FE63B8" w:rsidRDefault="00BE5109" w:rsidP="002D39BD">
            <w:r>
              <w:t xml:space="preserve">   G</w:t>
            </w:r>
          </w:p>
        </w:tc>
        <w:tc>
          <w:tcPr>
            <w:tcW w:w="3011" w:type="pct"/>
          </w:tcPr>
          <w:p w14:paraId="4E9A7416" w14:textId="77777777" w:rsidR="00FE63B8" w:rsidRDefault="00BE5109" w:rsidP="00BE5109">
            <w:r>
              <w:t>Denna informationsspecifikation hanteras i enlighet med punkt 2.4 Arkitekturella beslut, (AB): Tre domäner baseras på samma informationsmodell</w:t>
            </w:r>
          </w:p>
        </w:tc>
      </w:tr>
      <w:tr w:rsidR="00FE63B8" w:rsidRPr="000D195E" w14:paraId="1F41AE4C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20C49E4D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31F9C4F1" w14:textId="2372CA1B" w:rsidR="00FE63B8" w:rsidRDefault="00F80A61" w:rsidP="002D39BD">
            <w:r>
              <w:t>G</w:t>
            </w:r>
          </w:p>
        </w:tc>
        <w:tc>
          <w:tcPr>
            <w:tcW w:w="3011" w:type="pct"/>
          </w:tcPr>
          <w:p w14:paraId="56052AA4" w14:textId="77777777" w:rsidR="00FE63B8" w:rsidRDefault="00FE63B8" w:rsidP="00691A3B"/>
        </w:tc>
      </w:tr>
    </w:tbl>
    <w:p w14:paraId="35C84F7C" w14:textId="77777777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8EF5" w14:textId="77777777" w:rsidR="00CC79E7" w:rsidRDefault="00CC79E7" w:rsidP="00C15048">
      <w:r>
        <w:separator/>
      </w:r>
    </w:p>
    <w:p w14:paraId="10D81311" w14:textId="77777777" w:rsidR="00CC79E7" w:rsidRDefault="00CC79E7" w:rsidP="00C15048"/>
    <w:p w14:paraId="4C602048" w14:textId="77777777" w:rsidR="00CC79E7" w:rsidRDefault="00CC79E7" w:rsidP="00C15048"/>
  </w:endnote>
  <w:endnote w:type="continuationSeparator" w:id="0">
    <w:p w14:paraId="4614084A" w14:textId="77777777" w:rsidR="00CC79E7" w:rsidRDefault="00CC79E7" w:rsidP="00C15048">
      <w:r>
        <w:continuationSeparator/>
      </w:r>
    </w:p>
    <w:p w14:paraId="098ED3A1" w14:textId="77777777" w:rsidR="00CC79E7" w:rsidRDefault="00CC79E7" w:rsidP="00C15048"/>
    <w:p w14:paraId="47598BAC" w14:textId="77777777" w:rsidR="00CC79E7" w:rsidRDefault="00CC79E7" w:rsidP="00C15048"/>
  </w:endnote>
  <w:endnote w:type="continuationNotice" w:id="1">
    <w:p w14:paraId="0B7DB16E" w14:textId="77777777" w:rsidR="00CC79E7" w:rsidRDefault="00CC79E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14:paraId="1BE8FB98" w14:textId="77777777" w:rsidTr="00B16F63">
      <w:trPr>
        <w:trHeight w:val="629"/>
      </w:trPr>
      <w:tc>
        <w:tcPr>
          <w:tcW w:w="1702" w:type="dxa"/>
        </w:tcPr>
        <w:p w14:paraId="405DAE62" w14:textId="77777777"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64F7B506" w14:textId="77777777" w:rsidR="009B53BE" w:rsidRDefault="009B53BE" w:rsidP="009B53BE">
          <w:pPr>
            <w:pStyle w:val="Sidfot"/>
          </w:pPr>
          <w:r>
            <w:t>Box 177 03</w:t>
          </w:r>
        </w:p>
        <w:p w14:paraId="0DE895B4" w14:textId="77777777" w:rsidR="009B53BE" w:rsidRDefault="009B53BE" w:rsidP="009B53BE">
          <w:pPr>
            <w:pStyle w:val="Sidfot"/>
          </w:pPr>
          <w:r>
            <w:t>Tjärhovsgatan 21B</w:t>
          </w:r>
        </w:p>
        <w:p w14:paraId="2EC3CACC" w14:textId="77777777"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2847B4A0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61E920A9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4796D89F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010134D1" w14:textId="77777777"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14:paraId="2653DC5E" w14:textId="77777777"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14:paraId="7A39BC97" w14:textId="77777777"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14:paraId="1404EC46" w14:textId="6FC70AA3"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A6404C">
            <w:rPr>
              <w:rStyle w:val="Sidnummer"/>
              <w:noProof/>
            </w:rPr>
            <w:t>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A6404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408B89B" w14:textId="77777777" w:rsidR="00B87E1B" w:rsidRPr="004A7C1C" w:rsidRDefault="00B87E1B" w:rsidP="00C15048"/>
  <w:p w14:paraId="6D9EE999" w14:textId="77777777"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884C" w14:textId="77777777" w:rsidR="00CC79E7" w:rsidRDefault="00CC79E7" w:rsidP="00C15048">
      <w:r>
        <w:separator/>
      </w:r>
    </w:p>
    <w:p w14:paraId="1DE5A959" w14:textId="77777777" w:rsidR="00CC79E7" w:rsidRDefault="00CC79E7" w:rsidP="00C15048"/>
    <w:p w14:paraId="0E9E77BA" w14:textId="77777777" w:rsidR="00CC79E7" w:rsidRDefault="00CC79E7" w:rsidP="00C15048"/>
  </w:footnote>
  <w:footnote w:type="continuationSeparator" w:id="0">
    <w:p w14:paraId="42349964" w14:textId="77777777" w:rsidR="00CC79E7" w:rsidRDefault="00CC79E7" w:rsidP="00C15048">
      <w:r>
        <w:continuationSeparator/>
      </w:r>
    </w:p>
    <w:p w14:paraId="76ED65C5" w14:textId="77777777" w:rsidR="00CC79E7" w:rsidRDefault="00CC79E7" w:rsidP="00C15048"/>
    <w:p w14:paraId="0C662B9C" w14:textId="77777777" w:rsidR="00CC79E7" w:rsidRDefault="00CC79E7" w:rsidP="00C15048"/>
  </w:footnote>
  <w:footnote w:type="continuationNotice" w:id="1">
    <w:p w14:paraId="0F8A1C96" w14:textId="77777777" w:rsidR="00CC79E7" w:rsidRDefault="00CC79E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8DA6" w14:textId="77777777" w:rsidR="00B87E1B" w:rsidRDefault="00B87E1B" w:rsidP="00C15048"/>
  <w:p w14:paraId="59FBF384" w14:textId="77777777"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14:paraId="7271EB0E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4823D761" w14:textId="77777777"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220A7457" w14:textId="77777777" w:rsidR="00B87E1B" w:rsidRPr="001F54EF" w:rsidRDefault="00CC79E7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B87E1B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61DE7C1" w14:textId="77777777" w:rsidR="00B87E1B" w:rsidRPr="00E6091D" w:rsidRDefault="00CC79E7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45088CA" w14:textId="77777777"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14:paraId="609C97A1" w14:textId="77777777" w:rsidR="00B87E1B" w:rsidRPr="001F54EF" w:rsidRDefault="00CC79E7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14:paraId="7524041E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5363B0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EE10C" w14:textId="77777777"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14:paraId="1F3372B5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04F3F46E" w14:textId="77777777"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DF4E173" w14:textId="77777777"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679C92D" w14:textId="77777777"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927995E" w14:textId="77777777" w:rsidR="00B87E1B" w:rsidRPr="00E123DA" w:rsidRDefault="00B87E1B" w:rsidP="00C15048">
          <w:pPr>
            <w:pStyle w:val="Sidhuvud"/>
          </w:pPr>
        </w:p>
      </w:tc>
    </w:tr>
    <w:tr w:rsidR="00B87E1B" w:rsidRPr="00144360" w14:paraId="6D1CD332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44F24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DF0B12" w14:textId="77777777" w:rsidR="00B87E1B" w:rsidRDefault="00B87E1B" w:rsidP="00C15048">
    <w:pPr>
      <w:pStyle w:val="Sidhuvud"/>
    </w:pPr>
  </w:p>
  <w:p w14:paraId="58B86636" w14:textId="77777777"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12.75pt" o:bullet="t">
        <v:imagedata r:id="rId1" o:title="Pil-v2-Word"/>
      </v:shape>
    </w:pict>
  </w:numPicBullet>
  <w:numPicBullet w:numPicBulletId="1">
    <w:pict>
      <v:shape id="_x0000_i1033" type="#_x0000_t75" style="width:3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629F"/>
    <w:multiLevelType w:val="hybridMultilevel"/>
    <w:tmpl w:val="0DD0599C"/>
    <w:lvl w:ilvl="0" w:tplc="03C2A4BC">
      <w:start w:val="201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67C7A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263F4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178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02E4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C598B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17D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2684F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04C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421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A2C78"/>
    <w:rsid w:val="00BC1D83"/>
    <w:rsid w:val="00BD7C4A"/>
    <w:rsid w:val="00BE1DFD"/>
    <w:rsid w:val="00BE5109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C79E7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A28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80A61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810CA2C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3C3178"/>
    <w:pPr>
      <w:spacing w:before="0" w:after="0" w:line="280" w:lineRule="atLeast"/>
      <w:ind w:left="720" w:hanging="360"/>
      <w:contextualSpacing/>
    </w:pPr>
    <w:rPr>
      <w:rFonts w:ascii="Georgia" w:eastAsia="Calibri" w:hAnsi="Georgia"/>
      <w:sz w:val="20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C3178"/>
    <w:rPr>
      <w:rFonts w:ascii="Georgia" w:eastAsia="Calibri" w:hAnsi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s://www.inera.se/globalassets/tjanster/katalogtjanst-hsa/dokument/styrande-dokument/informationsspecifikation_for_katalogtjanst_hsa_version_2.0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era.se/globalassets/tjanster/katalogtjanst-hsa/dokument/styrande-dokument/informationsspecifikation_for_katalogtjanst_hsa_version_2.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yperlink" Target="https://www.inera.se/globalassets/tjanster/katalogtjanst-hsa/dokument/styrande-dokument/informationsspecifikation_for_katalogtjanst_hsa_version_2.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53BA-3EBA-4576-98E1-5A01795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2018-02-23T13:01:00Z</dcterms:created>
  <dcterms:modified xsi:type="dcterms:W3CDTF">2018-02-23T13:01:00Z</dcterms:modified>
</cp:coreProperties>
</file>